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BD2F">
      <w:pPr>
        <w:widowControl/>
        <w:snapToGrid w:val="0"/>
        <w:spacing w:before="312" w:beforeLines="100" w:after="468" w:afterLines="150" w:line="360" w:lineRule="auto"/>
        <w:jc w:val="center"/>
        <w:rPr>
          <w:rFonts w:hint="eastAsia" w:cs="方正小标宋简体" w:asciiTheme="minorEastAsia" w:hAnsiTheme="minorEastAsia"/>
          <w:bCs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32"/>
          <w:szCs w:val="32"/>
        </w:rPr>
        <w:t>2025年度天津市科学技术奖拟申报项目公示</w:t>
      </w:r>
      <w:bookmarkStart w:id="0" w:name="_GoBack"/>
      <w:bookmarkEnd w:id="0"/>
    </w:p>
    <w:p w14:paraId="61017BA4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一、</w:t>
      </w:r>
      <w:r>
        <w:rPr>
          <w:rFonts w:asciiTheme="minorEastAsia" w:hAnsiTheme="minorEastAsia"/>
          <w:b/>
          <w:bCs/>
          <w:sz w:val="28"/>
          <w:szCs w:val="28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胃癌中西医结合全程防治体系的构建与临床应用</w:t>
      </w:r>
    </w:p>
    <w:p w14:paraId="765A03CA"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二、</w:t>
      </w:r>
      <w:r>
        <w:rPr>
          <w:rFonts w:asciiTheme="minorEastAsia" w:hAnsiTheme="minorEastAsia"/>
          <w:b/>
          <w:bCs/>
          <w:sz w:val="28"/>
          <w:szCs w:val="28"/>
        </w:rPr>
        <w:t>提名奖种和等级：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天津市科学技术进步奖（公益类）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等奖</w:t>
      </w:r>
    </w:p>
    <w:p w14:paraId="6B0805D7">
      <w:pPr>
        <w:spacing w:line="360" w:lineRule="auto"/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</w:t>
      </w:r>
      <w:r>
        <w:rPr>
          <w:rFonts w:asciiTheme="minorEastAsia" w:hAnsiTheme="minorEastAsia"/>
          <w:b/>
          <w:bCs/>
          <w:sz w:val="28"/>
          <w:szCs w:val="28"/>
        </w:rPr>
        <w:t>主要完成单位：</w:t>
      </w:r>
      <w:r>
        <w:rPr>
          <w:rFonts w:hint="eastAsia" w:asciiTheme="minorEastAsia" w:hAnsiTheme="minorEastAsia"/>
          <w:sz w:val="28"/>
          <w:szCs w:val="28"/>
        </w:rPr>
        <w:t>天津中医药大学第一附属医院、河北医科大学第四医院</w:t>
      </w:r>
    </w:p>
    <w:p w14:paraId="36EDA305">
      <w:pPr>
        <w:numPr>
          <w:ilvl w:val="0"/>
          <w:numId w:val="0"/>
        </w:numPr>
        <w:spacing w:line="360" w:lineRule="auto"/>
        <w:ind w:left="0" w:leftChars="0" w:firstLine="562" w:firstLineChars="200"/>
        <w:rPr>
          <w:rFonts w:hint="eastAsia"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Bidi"/>
          <w:b/>
          <w:bCs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asciiTheme="minorEastAsia" w:hAnsiTheme="minorEastAsia"/>
          <w:b/>
          <w:bCs/>
          <w:sz w:val="28"/>
          <w:szCs w:val="28"/>
        </w:rPr>
        <w:t>主要完成人：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孔凡铭、贾英杰、霍炳杰、黄敏娜、刘宏根</w:t>
      </w:r>
    </w:p>
    <w:p w14:paraId="6FC3DD3C">
      <w:pPr>
        <w:spacing w:line="360" w:lineRule="auto"/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五、提名单位：</w:t>
      </w:r>
      <w:r>
        <w:rPr>
          <w:rFonts w:hint="eastAsia" w:ascii="宋体" w:hAnsi="宋体" w:eastAsia="宋体"/>
          <w:sz w:val="28"/>
          <w:szCs w:val="28"/>
        </w:rPr>
        <w:t xml:space="preserve">天津中医药大学 </w:t>
      </w:r>
    </w:p>
    <w:p w14:paraId="23478DA0"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六、主要技术支撑材料</w:t>
      </w:r>
    </w:p>
    <w:p w14:paraId="7DE07597"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知识产权和标准规范：</w:t>
      </w:r>
    </w:p>
    <w:tbl>
      <w:tblPr>
        <w:tblStyle w:val="6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38"/>
        <w:gridCol w:w="741"/>
        <w:gridCol w:w="638"/>
        <w:gridCol w:w="1896"/>
        <w:gridCol w:w="1266"/>
        <w:gridCol w:w="1056"/>
        <w:gridCol w:w="666"/>
        <w:gridCol w:w="766"/>
        <w:gridCol w:w="428"/>
      </w:tblGrid>
      <w:tr w14:paraId="6189F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0BAB43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附件编号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B5F7A4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知识产权（标准）类别</w:t>
            </w:r>
          </w:p>
        </w:tc>
        <w:tc>
          <w:tcPr>
            <w:tcW w:w="68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EA214C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知识产权（标准）</w:t>
            </w:r>
          </w:p>
          <w:p w14:paraId="640C4ED4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具体名称</w:t>
            </w:r>
          </w:p>
        </w:tc>
        <w:tc>
          <w:tcPr>
            <w:tcW w:w="38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738FC46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国家</w:t>
            </w:r>
          </w:p>
          <w:p w14:paraId="7032DA6D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（地区）</w:t>
            </w:r>
          </w:p>
        </w:tc>
        <w:tc>
          <w:tcPr>
            <w:tcW w:w="68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F26EFF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授权号</w:t>
            </w:r>
          </w:p>
          <w:p w14:paraId="14991FF4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（标准编号）</w:t>
            </w:r>
          </w:p>
        </w:tc>
        <w:tc>
          <w:tcPr>
            <w:tcW w:w="52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6B9C05">
            <w:pPr>
              <w:pStyle w:val="3"/>
              <w:spacing w:after="0" w:line="240" w:lineRule="exact"/>
              <w:ind w:left="1"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授权（标准发布）日期</w:t>
            </w:r>
          </w:p>
        </w:tc>
        <w:tc>
          <w:tcPr>
            <w:tcW w:w="43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4D577D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证书编号（标准批准发布部门）</w:t>
            </w:r>
          </w:p>
        </w:tc>
        <w:tc>
          <w:tcPr>
            <w:tcW w:w="769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2230ED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权利人</w:t>
            </w:r>
          </w:p>
          <w:p w14:paraId="4CBBB7C2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（标准起草单位）</w:t>
            </w:r>
          </w:p>
        </w:tc>
        <w:tc>
          <w:tcPr>
            <w:tcW w:w="62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856823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发明人</w:t>
            </w:r>
          </w:p>
          <w:p w14:paraId="10F8FEAE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（标准起草人）</w:t>
            </w:r>
          </w:p>
        </w:tc>
        <w:tc>
          <w:tcPr>
            <w:tcW w:w="2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F0545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有效状态</w:t>
            </w:r>
          </w:p>
        </w:tc>
      </w:tr>
      <w:tr w14:paraId="39D9C5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587FE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2EF6F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发明专利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C530D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一种治疗ErbB2阳性胃癌的中药复方制剂及其制备方法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F0143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43F62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ZL202110126875.6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46A87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2022-04-15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B9613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5076456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D2D36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天津中医药大学第一附属医院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058D4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孔凡铭；贾英杰； 李小江；杨佩颖； 廖冬颖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0AD6A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</w:tr>
      <w:tr w14:paraId="54BCA1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DDCA9D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025764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实用新型专利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D51541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一种化疗后周围神经毒性防护装置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ED0689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D3B0C0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ZL202320313591.2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A04691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2023-09-26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4115BAE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19727638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8D4654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天津中医药大学第一附属医院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8D6452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孔凡铭;高芳芳;葛洁;张春雁;张晶;贾英杰;赵璐王紫薇;李悦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9AC88">
            <w:pPr>
              <w:spacing w:beforeLines="0" w:afterLines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</w:tr>
    </w:tbl>
    <w:p w14:paraId="05BF4375"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</w:p>
    <w:p w14:paraId="27AB1353"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</w:p>
    <w:p w14:paraId="48D3928B"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代表性论文（专著）</w:t>
      </w:r>
    </w:p>
    <w:tbl>
      <w:tblPr>
        <w:tblStyle w:val="6"/>
        <w:tblpPr w:leftFromText="180" w:rightFromText="180" w:vertAnchor="text" w:horzAnchor="page" w:tblpXSpec="center" w:tblpY="6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156"/>
        <w:gridCol w:w="1238"/>
        <w:gridCol w:w="1260"/>
        <w:gridCol w:w="775"/>
        <w:gridCol w:w="823"/>
        <w:gridCol w:w="1009"/>
        <w:gridCol w:w="664"/>
      </w:tblGrid>
      <w:tr w14:paraId="5BE8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4484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附件编号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30DA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论文（专著）名称/刊名/作者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FE2E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年卷页码</w:t>
            </w:r>
          </w:p>
          <w:p w14:paraId="6479DC3D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（XX年XX卷XX页）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EC79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发表时间（年月日）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AF68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通讯作者（含共同）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F3ED45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第一作者</w:t>
            </w:r>
          </w:p>
          <w:p w14:paraId="61E2244A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（含共同）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1BE0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国内作者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36EB">
            <w:pPr>
              <w:pStyle w:val="3"/>
              <w:spacing w:after="0" w:line="240" w:lineRule="exact"/>
              <w:ind w:firstLine="0" w:firstLineChars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</w:rPr>
              <w:t>论文署名单位是否包含国外单位</w:t>
            </w:r>
          </w:p>
        </w:tc>
      </w:tr>
      <w:tr w14:paraId="5A39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A9DF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8DC0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The FJQR Has Synergistic Effect with Fluoropyrimidine in the Maintenance Treatment for HER-2 Negative Gastric Cancer/Recent Pat Anticancer Drug Discov/Kong F, Zhao L, Wang N, Zhang D, Wang Z, Mei Q, Yu Y, Jia Y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F25E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2024;19(2):165-175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BE0B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2023-06-09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60D2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Kong F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734B4E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Kong F，Zhao L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C248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孔凡铭，赵璐，王娜，张豆，王紫薇，梅庆云，于永超，贾英杰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20EB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45BD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7ED2">
            <w:pPr>
              <w:spacing w:beforeLines="0" w:afterLines="0" w:line="240" w:lineRule="exact"/>
              <w:jc w:val="center"/>
              <w:outlineLvl w:val="1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417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Hopes and failures in front-line advanced HER2-positive gastric cancer therapy/Anticancer Drugs/Kong F, Yao Y, Deng R, Li X, Jia Y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345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2021,32(7):675-680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0F4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2021-08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D61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Kong F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71FC8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Kong F, Yao Y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A34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孔凡铭、姚杨、邓仁芬、李小江、贾英杰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CBA4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575B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FEE3">
            <w:pPr>
              <w:spacing w:beforeLines="0" w:afterLines="0" w:line="240" w:lineRule="exact"/>
              <w:jc w:val="center"/>
              <w:outlineLvl w:val="1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BE0E"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Regulatory Mechanism and Experimental Verification of Patchouli Alcohol on</w:t>
            </w:r>
          </w:p>
          <w:p w14:paraId="76454B96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Gastric Cancer Cell Based on Network Pharmacology/Front Oncol/Song Y, Chang L, Wang X, Tan Song YB, Li J, Zhang J, Zhang F, Zhao L, Liu G, Huo B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E234"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2021 Sep</w:t>
            </w:r>
          </w:p>
          <w:p w14:paraId="6045976C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1;11:711984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A44C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2021-09-01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318E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Huo B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9F552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Song Y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B372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宋艳茹、常亮、王晓媛、檀碧波、李建波、张洁、张凤斌、赵莲梅、刘广杰、霍炳杰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DE78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2455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9868">
            <w:pPr>
              <w:spacing w:beforeLines="0" w:afterLines="0" w:line="240" w:lineRule="exact"/>
              <w:jc w:val="center"/>
              <w:outlineLvl w:val="1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0B3A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胃癌组织中磷脂酰肌醇-3-激酶-蛋白激酶B相关基因CXC基序受体4的表达及功能分析/中国肿瘤临床与康复/刘文博、王志远、刘庆伟、赵群、霍炳杰、耿建磊、王盈盈、宋超、李英杰、孔凡铭、李勇、檀碧波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311C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2024, 31 (01): 30-38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64C9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2024-01-28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EE74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檀碧波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D3BD6B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刘文博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7C05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刘文博、王志远、刘庆伟、赵群、霍炳杰、耿建磊、王盈盈、宋超、李英杰、孔凡铭、李勇、檀碧波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12B9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2235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5090">
            <w:pPr>
              <w:spacing w:beforeLines="0" w:afterLines="0" w:line="240" w:lineRule="exact"/>
              <w:jc w:val="center"/>
              <w:outlineLvl w:val="1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0EFF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贾英杰教授“通补法”治疗胃癌经验/天津中医药/邓仁芬、姚杨、廖冬颖、谢红霞、孔凡铭、贾英杰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5057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2021,38(11):1368-1371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965D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2021-11-12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0007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孔凡铭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94E691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邓仁芬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5293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邓仁芬、姚杨、廖冬颖、谢红霞、孔凡铭、贾英杰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0E47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4557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527D">
            <w:pPr>
              <w:spacing w:beforeLines="0" w:afterLines="0" w:line="240" w:lineRule="exact"/>
              <w:jc w:val="center"/>
              <w:outlineLvl w:val="1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D421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贾英杰辨治胃癌经验/中医杂志/赵辰辰、杨佩颖、孔凡铭、刘宏根、孙彬栩、夏颖、贾英杰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B387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2020,61(12):1046-1048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0090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2020-06-15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526B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贾英杰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9CAB0F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赵辰辰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ABD7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赵辰辰、杨佩颖、孔凡铭、刘宏根、孙彬栩、夏颖、贾英杰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07AD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0C70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D6E3">
            <w:pPr>
              <w:spacing w:beforeLines="0" w:afterLines="0" w:line="240" w:lineRule="exact"/>
              <w:jc w:val="center"/>
              <w:outlineLvl w:val="1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B644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顺铂联合重组人5型腺病毒腹腔灌注治疗胃癌合并恶性腹腔积液的临床疗效/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癌症进展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刘宏根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、赵林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杨佩颖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赵成、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孔凡铭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3C77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2024, 22 (05): 520-523+539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1C80"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-03-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4CCE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孔凡铭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D1619E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刘宏根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4C31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刘宏根、赵林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、杨佩颖、赵成、孔凡铭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8375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2408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1905">
            <w:pPr>
              <w:spacing w:beforeLines="0" w:afterLines="0" w:line="240" w:lineRule="exact"/>
              <w:jc w:val="center"/>
              <w:outlineLvl w:val="1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FF12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浅谈胃癌化疗导致骨髓抑制的中医分期辨治/中医肿瘤学杂志/姚杨、贾英杰、邓仁芬、左金辉、谢红霞、廖冬颖、孔凡铭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3251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2020, 2 (05): 45-49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C4F4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2020-11-25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6207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孔凡铭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4DEC92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姚杨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F425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姚杨、贾英杰、邓仁芬、左金辉、谢红霞、廖冬颖、孔凡铭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5D13"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</w:tbl>
    <w:p w14:paraId="4CC17726">
      <w:pPr>
        <w:spacing w:line="360" w:lineRule="auto"/>
        <w:ind w:right="-764" w:rightChars="-364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jZjZjMDE4ZjE0ZTgzOTJmYWM5ZDlhYmQ0OTg1Y2MifQ=="/>
    <w:docVar w:name="KY_MEDREF_DOCUID" w:val="{6A963F5C-ABF8-4624-B2EB-B3C2126F76B7}"/>
    <w:docVar w:name="KY_MEDREF_VERSION" w:val="3"/>
  </w:docVars>
  <w:rsids>
    <w:rsidRoot w:val="00172A27"/>
    <w:rsid w:val="00034682"/>
    <w:rsid w:val="000B379A"/>
    <w:rsid w:val="000C2C83"/>
    <w:rsid w:val="001956CF"/>
    <w:rsid w:val="001E2A8A"/>
    <w:rsid w:val="0021377E"/>
    <w:rsid w:val="0030414C"/>
    <w:rsid w:val="003449A1"/>
    <w:rsid w:val="0037439A"/>
    <w:rsid w:val="003F66F2"/>
    <w:rsid w:val="00416AFE"/>
    <w:rsid w:val="00456DB2"/>
    <w:rsid w:val="00482625"/>
    <w:rsid w:val="0048575E"/>
    <w:rsid w:val="004D072B"/>
    <w:rsid w:val="005772F7"/>
    <w:rsid w:val="00583514"/>
    <w:rsid w:val="00647EB2"/>
    <w:rsid w:val="006D3443"/>
    <w:rsid w:val="007D39EF"/>
    <w:rsid w:val="007E209E"/>
    <w:rsid w:val="0082418B"/>
    <w:rsid w:val="008254DA"/>
    <w:rsid w:val="0085066C"/>
    <w:rsid w:val="0085482C"/>
    <w:rsid w:val="009B0DFA"/>
    <w:rsid w:val="00A01BD3"/>
    <w:rsid w:val="00A0451F"/>
    <w:rsid w:val="00B56499"/>
    <w:rsid w:val="00B925B3"/>
    <w:rsid w:val="00D10B15"/>
    <w:rsid w:val="00D15215"/>
    <w:rsid w:val="00E10A9F"/>
    <w:rsid w:val="00EB1410"/>
    <w:rsid w:val="00F32BAF"/>
    <w:rsid w:val="00F33C40"/>
    <w:rsid w:val="01D45FCA"/>
    <w:rsid w:val="065133B8"/>
    <w:rsid w:val="0E417312"/>
    <w:rsid w:val="1B3F097D"/>
    <w:rsid w:val="1C060C86"/>
    <w:rsid w:val="265359DC"/>
    <w:rsid w:val="2E651CA0"/>
    <w:rsid w:val="307A737F"/>
    <w:rsid w:val="3507330F"/>
    <w:rsid w:val="3F9D0CD5"/>
    <w:rsid w:val="40152CA5"/>
    <w:rsid w:val="40450224"/>
    <w:rsid w:val="471472B5"/>
    <w:rsid w:val="4D493511"/>
    <w:rsid w:val="535D3873"/>
    <w:rsid w:val="5632548A"/>
    <w:rsid w:val="595839A8"/>
    <w:rsid w:val="6E0A419F"/>
    <w:rsid w:val="7113780F"/>
    <w:rsid w:val="77AB254F"/>
    <w:rsid w:val="7FE4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adjustRightInd w:val="0"/>
      <w:spacing w:line="240" w:lineRule="exact"/>
      <w:jc w:val="left"/>
    </w:pPr>
    <w:rPr>
      <w:rFonts w:ascii="宋体" w:hAnsi="Times New Roman" w:eastAsia="宋体" w:cs="宋体"/>
      <w:kern w:val="0"/>
      <w:szCs w:val="21"/>
    </w:rPr>
  </w:style>
  <w:style w:type="paragraph" w:styleId="3">
    <w:name w:val="Plain Text"/>
    <w:basedOn w:val="1"/>
    <w:link w:val="15"/>
    <w:qFormat/>
    <w:uiPriority w:val="0"/>
    <w:pPr>
      <w:spacing w:after="160"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宋体" w:hAnsi="Times New Roman" w:eastAsia="宋体" w:cs="宋体"/>
      <w:sz w:val="21"/>
      <w:szCs w:val="21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customStyle="1" w:styleId="13">
    <w:name w:val="Grid Table 1 Light"/>
    <w:basedOn w:val="6"/>
    <w:qFormat/>
    <w:uiPriority w:val="46"/>
    <w:rPr>
      <w:rFonts w:ascii="Times New Roman" w:hAnsi="Times New Roman" w:eastAsia="宋体" w:cs="Times New Roman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纯文本 字符"/>
    <w:basedOn w:val="8"/>
    <w:qFormat/>
    <w:uiPriority w:val="0"/>
    <w:rPr>
      <w:rFonts w:hAnsi="Courier New" w:cs="Courier New" w:asciiTheme="minorEastAsia"/>
      <w:kern w:val="2"/>
      <w:sz w:val="21"/>
      <w:szCs w:val="22"/>
    </w:rPr>
  </w:style>
  <w:style w:type="character" w:customStyle="1" w:styleId="15">
    <w:name w:val="纯文本 字符1"/>
    <w:link w:val="3"/>
    <w:qFormat/>
    <w:uiPriority w:val="0"/>
    <w:rPr>
      <w:rFonts w:ascii="仿宋_GB2312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442</Words>
  <Characters>456</Characters>
  <Lines>5</Lines>
  <Paragraphs>1</Paragraphs>
  <TotalTime>10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2025-09-06T08:07:00Z</dcterms:created>
  <dc:creator>落雪</dc:creator>
  <cp:lastModifiedBy>赵阳</cp:lastModifiedBy>
  <dcterms:modified xsi:type="dcterms:W3CDTF">2025-09-23T09:23:44Z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FC0B0012B30D43D6B28CB99490CC201F_11</vt:lpwstr>
  </property>
  <property fmtid="{D5CDD505-2E9C-101B-9397-08002B2CF9AE}" pid="4" name="KSOTemplateDocerSaveRecord">
    <vt:lpwstr>eyJoZGlkIjoiNjJkYTQ5ZmM0YTkwZWJkOGM2ZWVjMWU1OGQ4YzQ4YzkiLCJ1c2VySWQiOiIxNjU3NjA2NDE5In0=</vt:lpwstr>
  </property>
</Properties>
</file>